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66" w:rsidRPr="00253566" w:rsidRDefault="00253566" w:rsidP="00253566">
      <w:pPr>
        <w:shd w:val="clear" w:color="auto" w:fill="FFFFFF"/>
        <w:spacing w:before="100" w:beforeAutospacing="1" w:after="100" w:afterAutospacing="1" w:line="384" w:lineRule="atLeast"/>
        <w:jc w:val="center"/>
        <w:rPr>
          <w:rFonts w:eastAsia="Times New Roman" w:cs="Times New Roman"/>
          <w:color w:val="000000"/>
          <w:szCs w:val="24"/>
          <w:lang w:eastAsia="es-CO"/>
        </w:rPr>
      </w:pPr>
      <w:r w:rsidRPr="00253566">
        <w:rPr>
          <w:rFonts w:eastAsia="Times New Roman" w:cs="Times New Roman"/>
          <w:b/>
          <w:bCs/>
          <w:color w:val="000000"/>
          <w:szCs w:val="24"/>
          <w:lang w:eastAsia="es-CO"/>
        </w:rPr>
        <w:t>Oficio N° 102048 </w:t>
      </w:r>
      <w:r w:rsidRPr="00253566">
        <w:rPr>
          <w:rFonts w:eastAsia="Times New Roman" w:cs="Times New Roman"/>
          <w:color w:val="000000"/>
          <w:szCs w:val="24"/>
          <w:lang w:eastAsia="es-CO"/>
        </w:rPr>
        <w:br/>
        <w:t>04-12-2006 </w:t>
      </w:r>
      <w:r w:rsidRPr="00253566">
        <w:rPr>
          <w:rFonts w:eastAsia="Times New Roman" w:cs="Times New Roman"/>
          <w:color w:val="000000"/>
          <w:szCs w:val="24"/>
          <w:lang w:eastAsia="es-CO"/>
        </w:rPr>
        <w:br/>
        <w:t>DIAN</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b/>
          <w:bCs/>
          <w:color w:val="000000"/>
          <w:szCs w:val="24"/>
          <w:lang w:eastAsia="es-CO"/>
        </w:rPr>
        <w:t>Tema: </w:t>
      </w:r>
      <w:proofErr w:type="spellStart"/>
      <w:r w:rsidRPr="00253566">
        <w:rPr>
          <w:rFonts w:eastAsia="Times New Roman" w:cs="Times New Roman"/>
          <w:color w:val="000000"/>
          <w:szCs w:val="24"/>
          <w:lang w:eastAsia="es-CO"/>
        </w:rPr>
        <w:t>Iva</w:t>
      </w:r>
      <w:proofErr w:type="spellEnd"/>
      <w:r w:rsidRPr="00253566">
        <w:rPr>
          <w:rFonts w:eastAsia="Times New Roman" w:cs="Times New Roman"/>
          <w:color w:val="000000"/>
          <w:szCs w:val="24"/>
          <w:lang w:eastAsia="es-CO"/>
        </w:rPr>
        <w:t> </w:t>
      </w:r>
      <w:r w:rsidRPr="00253566">
        <w:rPr>
          <w:rFonts w:eastAsia="Times New Roman" w:cs="Times New Roman"/>
          <w:color w:val="000000"/>
          <w:szCs w:val="24"/>
          <w:lang w:eastAsia="es-CO"/>
        </w:rPr>
        <w:br/>
      </w:r>
      <w:r w:rsidRPr="00253566">
        <w:rPr>
          <w:rFonts w:eastAsia="Times New Roman" w:cs="Times New Roman"/>
          <w:b/>
          <w:bCs/>
          <w:color w:val="000000"/>
          <w:szCs w:val="24"/>
          <w:lang w:eastAsia="es-CO"/>
        </w:rPr>
        <w:t>Descriptor:</w:t>
      </w:r>
      <w:r w:rsidRPr="00253566">
        <w:rPr>
          <w:rFonts w:eastAsia="Times New Roman" w:cs="Times New Roman"/>
          <w:color w:val="000000"/>
          <w:szCs w:val="24"/>
          <w:lang w:eastAsia="es-CO"/>
        </w:rPr>
        <w:t> Servicios excluidos. Servicios para la salud humana.</w:t>
      </w:r>
    </w:p>
    <w:p w:rsidR="00253566" w:rsidRPr="00253566" w:rsidRDefault="00253566" w:rsidP="00253566">
      <w:pPr>
        <w:shd w:val="clear" w:color="auto" w:fill="FFFFFF"/>
        <w:spacing w:line="240" w:lineRule="auto"/>
        <w:rPr>
          <w:rFonts w:eastAsia="Times New Roman" w:cs="Times New Roman"/>
          <w:color w:val="000000"/>
          <w:szCs w:val="24"/>
          <w:lang w:eastAsia="es-CO"/>
        </w:rPr>
      </w:pPr>
      <w:r w:rsidRPr="00253566">
        <w:rPr>
          <w:rFonts w:eastAsia="Times New Roman" w:cs="Times New Roman"/>
          <w:b/>
          <w:bCs/>
          <w:color w:val="000000"/>
          <w:szCs w:val="24"/>
          <w:lang w:eastAsia="es-CO"/>
        </w:rPr>
        <w:t>***</w:t>
      </w:r>
    </w:p>
    <w:p w:rsidR="00253566" w:rsidRPr="00253566" w:rsidRDefault="00253566" w:rsidP="00253566">
      <w:pPr>
        <w:shd w:val="clear" w:color="auto" w:fill="FFFFFF"/>
        <w:spacing w:before="100" w:beforeAutospacing="1" w:after="100" w:afterAutospacing="1" w:line="384" w:lineRule="atLeast"/>
        <w:jc w:val="left"/>
        <w:rPr>
          <w:rFonts w:eastAsia="Times New Roman" w:cs="Times New Roman"/>
          <w:color w:val="000000"/>
          <w:szCs w:val="24"/>
          <w:lang w:eastAsia="es-CO"/>
        </w:rPr>
      </w:pPr>
      <w:r w:rsidRPr="00253566">
        <w:rPr>
          <w:rFonts w:eastAsia="Times New Roman" w:cs="Times New Roman"/>
          <w:color w:val="000000"/>
          <w:szCs w:val="24"/>
          <w:lang w:eastAsia="es-CO"/>
        </w:rPr>
        <w:t>Señor </w:t>
      </w:r>
      <w:r w:rsidRPr="00253566">
        <w:rPr>
          <w:rFonts w:eastAsia="Times New Roman" w:cs="Times New Roman"/>
          <w:color w:val="000000"/>
          <w:szCs w:val="24"/>
          <w:lang w:eastAsia="es-CO"/>
        </w:rPr>
        <w:br/>
        <w:t>VICTOR MANUEL UEVANO DAZA </w:t>
      </w:r>
      <w:r w:rsidRPr="00253566">
        <w:rPr>
          <w:rFonts w:eastAsia="Times New Roman" w:cs="Times New Roman"/>
          <w:color w:val="000000"/>
          <w:szCs w:val="24"/>
          <w:lang w:eastAsia="es-CO"/>
        </w:rPr>
        <w:br/>
        <w:t>Calle 11 # 42-35 </w:t>
      </w:r>
      <w:r w:rsidRPr="00253566">
        <w:rPr>
          <w:rFonts w:eastAsia="Times New Roman" w:cs="Times New Roman"/>
          <w:color w:val="000000"/>
          <w:szCs w:val="24"/>
          <w:lang w:eastAsia="es-CO"/>
        </w:rPr>
        <w:br/>
        <w:t>Bogotá, D.C.</w:t>
      </w:r>
    </w:p>
    <w:p w:rsidR="00B67FB5" w:rsidRDefault="00253566" w:rsidP="00B67FB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 xml:space="preserve">TEMA:                           </w:t>
      </w:r>
      <w:r w:rsidR="00B67FB5">
        <w:rPr>
          <w:rFonts w:eastAsia="Times New Roman" w:cs="Times New Roman"/>
          <w:color w:val="000000"/>
          <w:szCs w:val="24"/>
          <w:lang w:eastAsia="es-CO"/>
        </w:rPr>
        <w:t xml:space="preserve">    </w:t>
      </w:r>
      <w:r w:rsidRPr="00253566">
        <w:rPr>
          <w:rFonts w:eastAsia="Times New Roman" w:cs="Times New Roman"/>
          <w:color w:val="000000"/>
          <w:szCs w:val="24"/>
          <w:lang w:eastAsia="es-CO"/>
        </w:rPr>
        <w:t>Impuesto sobre las ventas</w:t>
      </w:r>
    </w:p>
    <w:p w:rsidR="00B67FB5" w:rsidRDefault="00253566" w:rsidP="00B67FB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DESCRIPTOR:              </w:t>
      </w:r>
      <w:r w:rsidR="00B67FB5">
        <w:rPr>
          <w:rFonts w:eastAsia="Times New Roman" w:cs="Times New Roman"/>
          <w:color w:val="000000"/>
          <w:szCs w:val="24"/>
          <w:lang w:eastAsia="es-CO"/>
        </w:rPr>
        <w:t xml:space="preserve">   </w:t>
      </w:r>
      <w:r w:rsidRPr="00253566">
        <w:rPr>
          <w:rFonts w:eastAsia="Times New Roman" w:cs="Times New Roman"/>
          <w:color w:val="000000"/>
          <w:szCs w:val="24"/>
          <w:lang w:eastAsia="es-CO"/>
        </w:rPr>
        <w:t xml:space="preserve"> Servicios excluidos. Servicios para la salud humana.</w:t>
      </w:r>
    </w:p>
    <w:p w:rsidR="00253566" w:rsidRPr="00253566" w:rsidRDefault="00253566" w:rsidP="00B67FB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FUENTES FORMALES:</w:t>
      </w:r>
      <w:r w:rsidR="00AA002A" w:rsidRPr="00253566">
        <w:rPr>
          <w:rFonts w:eastAsia="Times New Roman" w:cs="Times New Roman"/>
          <w:color w:val="000000"/>
          <w:szCs w:val="24"/>
          <w:lang w:eastAsia="es-CO"/>
        </w:rPr>
        <w:t> </w:t>
      </w:r>
      <w:r w:rsidR="00AA002A">
        <w:rPr>
          <w:rFonts w:eastAsia="Times New Roman" w:cs="Times New Roman"/>
          <w:color w:val="000000"/>
          <w:szCs w:val="24"/>
          <w:lang w:eastAsia="es-CO"/>
        </w:rPr>
        <w:t xml:space="preserve"> Artículo</w:t>
      </w:r>
      <w:r w:rsidRPr="00253566">
        <w:rPr>
          <w:rFonts w:eastAsia="Times New Roman" w:cs="Times New Roman"/>
          <w:color w:val="000000"/>
          <w:szCs w:val="24"/>
          <w:lang w:eastAsia="es-CO"/>
        </w:rPr>
        <w:t xml:space="preserve"> 476, numeral 1º del Estatuto Tributario.</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Cordial saludo, señor Lievano:</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Conforme a lo establecido en el artículo 11 del Decreto 1265 de 1999 y la Resolución No. 1618 del 22 de febrero de 2006, este despacho es competente para absolver en sentido general y abstracto las consultas escritas que se formulen sobre la interpretación y aplicación de las normas tributarias cuyos impuestos administra la Dirección de Impuestos y Aduanas Nacionales, por lo tanto bajo estos presupuestos se dará respuesta a su solicitud.</w:t>
      </w:r>
    </w:p>
    <w:p w:rsidR="00253566" w:rsidRPr="00E61315" w:rsidRDefault="00253566" w:rsidP="00253566">
      <w:pPr>
        <w:shd w:val="clear" w:color="auto" w:fill="FFFFFF"/>
        <w:spacing w:before="100" w:beforeAutospacing="1" w:after="100" w:afterAutospacing="1" w:line="384" w:lineRule="atLeast"/>
        <w:rPr>
          <w:rFonts w:eastAsia="Times New Roman" w:cs="Times New Roman"/>
          <w:b/>
          <w:color w:val="000000"/>
          <w:sz w:val="32"/>
          <w:szCs w:val="32"/>
          <w:highlight w:val="green"/>
          <w:lang w:eastAsia="es-CO"/>
        </w:rPr>
      </w:pPr>
      <w:r w:rsidRPr="00E61315">
        <w:rPr>
          <w:rFonts w:eastAsia="Times New Roman" w:cs="Times New Roman"/>
          <w:b/>
          <w:color w:val="000000"/>
          <w:sz w:val="32"/>
          <w:szCs w:val="32"/>
          <w:highlight w:val="green"/>
          <w:lang w:eastAsia="es-CO"/>
        </w:rPr>
        <w:t>Mediante radicado de la referencia formula usted las siguientes preguntas:</w:t>
      </w:r>
    </w:p>
    <w:p w:rsidR="00253566" w:rsidRPr="00E61315" w:rsidRDefault="00253566" w:rsidP="00253566">
      <w:pPr>
        <w:shd w:val="clear" w:color="auto" w:fill="FFFFFF"/>
        <w:spacing w:before="100" w:beforeAutospacing="1" w:after="100" w:afterAutospacing="1" w:line="384" w:lineRule="atLeast"/>
        <w:rPr>
          <w:rFonts w:eastAsia="Times New Roman" w:cs="Times New Roman"/>
          <w:b/>
          <w:color w:val="000000"/>
          <w:sz w:val="32"/>
          <w:szCs w:val="32"/>
          <w:lang w:eastAsia="es-CO"/>
        </w:rPr>
      </w:pPr>
      <w:r w:rsidRPr="00E61315">
        <w:rPr>
          <w:rFonts w:eastAsia="Times New Roman" w:cs="Times New Roman"/>
          <w:b/>
          <w:color w:val="000000"/>
          <w:sz w:val="32"/>
          <w:szCs w:val="32"/>
          <w:highlight w:val="green"/>
          <w:lang w:eastAsia="es-CO"/>
        </w:rPr>
        <w:t>1. ¿Los servicios profesionales para la salud humana correspondientes a cirugía estética se encuentran excluidos del impuesto sobre las ventas?</w:t>
      </w:r>
    </w:p>
    <w:p w:rsidR="00253566" w:rsidRPr="00E61315" w:rsidRDefault="00253566" w:rsidP="00253566">
      <w:pPr>
        <w:shd w:val="clear" w:color="auto" w:fill="FFFFFF"/>
        <w:spacing w:before="100" w:beforeAutospacing="1" w:after="100" w:afterAutospacing="1" w:line="384" w:lineRule="atLeast"/>
        <w:rPr>
          <w:rFonts w:eastAsia="Times New Roman" w:cs="Times New Roman"/>
          <w:color w:val="000000"/>
          <w:szCs w:val="24"/>
          <w:highlight w:val="green"/>
          <w:lang w:eastAsia="es-CO"/>
        </w:rPr>
      </w:pPr>
      <w:r w:rsidRPr="00E61315">
        <w:rPr>
          <w:rFonts w:eastAsia="Times New Roman" w:cs="Times New Roman"/>
          <w:color w:val="000000"/>
          <w:szCs w:val="24"/>
          <w:highlight w:val="green"/>
          <w:lang w:eastAsia="es-CO"/>
        </w:rPr>
        <w:t>El Concepto Unificado del Impuesto sobre las Ventas 2003, doctrina vigente sobre el tema, dispone:</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E61315">
        <w:rPr>
          <w:rFonts w:eastAsia="Times New Roman" w:cs="Times New Roman"/>
          <w:color w:val="000000"/>
          <w:szCs w:val="24"/>
          <w:highlight w:val="green"/>
          <w:lang w:eastAsia="es-CO"/>
        </w:rPr>
        <w:lastRenderedPageBreak/>
        <w:t>2.1. SERVICIOS MÉDICOS, ODONTOLOGICOS, HOSPITALARIOS, CLÍNICOS Y DE LABORATORIO, PARA LA SALUD HUMANA. (NUMERAL 1°. DEL ARTICULO 476 DEL ESTATUTO TRIBUTARIO).</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El artículo 476 del Estatuto Tributario señala en el numeral primero, como excluidos del IVA los servicios médicos, odontológicos, hospitalarios, clínicos y de laboratorio, para la salud humana.</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Se entiende por servicio de salud el que en forma directa recae sobre la persona humana con la finalidad única de procurar su recuperación física o mental.</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Se ubican dentro de la exclusión, todos aquellos servicios destinados a la atención de la salud humana, prestados por profesionales debidamente registrados y autorizados por la entidad a quien la ley ha confiado su control y vigilancia. De igual forma se hallan excluidos los servicios para la atención de la salud humana, aunque quien los preste no sea un profesional de la medicina, como los de optometría, terapia del lenguaje, fisioterapia.</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La exclusión, no obedece en modo alguno al ejercicio de determinada profesión, sino a la aplicación práctica y específica de la misma en actividades que pro pendan por la salud humana.</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No obstante, en la misma medida que un profesional de la medicina o la odontología puede prestar servicios no dirigidos específicamente a la salud, lo propio sucede con los profesionales de la sicología que prestan sus servicios a la rama industrial o empresarial en la selección, capacitación, elaboración de manuales de funciones así como adiestramiento de personal, servicios éstos que por no encontrarse dirigidos a la recuperación de la salud humana, no pueden catalogarse como excluidos del impuesto.</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Efectivamente, existe un sinnúmero de servicios profesionales, en las diferentes áreas de la ciencia, que, si bien de una u otra forma se relacionan con la salud humana, no tienen como finalidad exclusiva lograr la recuperación física y mental de la persona, encontrándose sujetos al impuesto sobre las ventas. Vale la pena enunciar algunos de estos servicios: los servicios profesionales de diagnóstico, control de calidad, y el análisis, vigilancia y control sanitario de medicamentos y sustancias químicas de riesgo para la salud humana.</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lastRenderedPageBreak/>
        <w:t>Con el mismo criterio, no está cubierto por la exclusión, el servicio de información de la presión arterial, peso, estatura y demás, prestados a través de máquinas.</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Tampoco quedan comprendidos en la exclusión servicios tales como: seminarios, consultoría, capacitación, etc., los que, por propia definición, aun cuando se encuentren encaminados a proporcionar información, enseñanza y capacitación en actividades relacionadas con administración y organización de servicios hospitalarios excluidos, no son parte integrante y menos aún directa del servicio de salud.</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Cuando en desarrollo de la prestación del servicio médico se realizan actividades tales como la investigación o la educación, las cuales por su naturaleza son diferentes a las relativas a la salud humana propiamente dichas, no se encuentran cobijadas por la exclusión.</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De acuerdo con lo señalado, se concluye, igualmente, que la auditoría médica, o examen de las actividades realizadas en determinado campo con el objeto de efectuar el diagnóstico o evaluación de su situación, por no estar relacionada en forma directa con la prestación de un servicio de salud, se encuentra gravada con el impuesto sobre las ventas . (Ratificado por el concepto No. 071920 de octubre 05 de 2005).</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Ahora bien, el derecho a la salud y la garantía del mismo han sido desarrollados ampliamente por la jurisprudencia de la Corte Constitucional en los siguientes términos:</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6.- La salud como concepto integral incluye no sólo aspectos físicos sino también aspectos psíquicos, emocionales y sociales.</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E61315">
        <w:rPr>
          <w:rFonts w:eastAsia="Times New Roman" w:cs="Times New Roman"/>
          <w:color w:val="000000"/>
          <w:szCs w:val="24"/>
          <w:highlight w:val="green"/>
          <w:lang w:eastAsia="es-CO"/>
        </w:rPr>
        <w:t>En la sentencia T -659 de 2003 se pronunció la Sala Segunda de Revisión sobre un asunto similar al</w:t>
      </w:r>
      <w:r w:rsidRPr="00253566">
        <w:rPr>
          <w:rFonts w:eastAsia="Times New Roman" w:cs="Times New Roman"/>
          <w:color w:val="000000"/>
          <w:szCs w:val="24"/>
          <w:lang w:eastAsia="es-CO"/>
        </w:rPr>
        <w:t xml:space="preserve"> examinado por la Sala en la presente ocasión. Lo dicho en las consideraciones por la Sala de Revisión cobra especial relevancia para el asunto bajo examen de la Sala en la presente sentencia.] la salud no equivale únicamente a un estado de bienestar físico o funcional. </w:t>
      </w:r>
      <w:r w:rsidRPr="00E61315">
        <w:rPr>
          <w:rFonts w:eastAsia="Times New Roman" w:cs="Times New Roman"/>
          <w:color w:val="000000"/>
          <w:szCs w:val="24"/>
          <w:highlight w:val="green"/>
          <w:lang w:eastAsia="es-CO"/>
        </w:rPr>
        <w:t>Incluye también el bienestar psíquico, emocional y social de las personas]. Todos estos aspectos contribuyen a configurar una vida de calidad e inciden fuertemente en el desarrollo Integral del ser humano.</w:t>
      </w:r>
      <w:r w:rsidRPr="00253566">
        <w:rPr>
          <w:rFonts w:eastAsia="Times New Roman" w:cs="Times New Roman"/>
          <w:color w:val="000000"/>
          <w:szCs w:val="24"/>
          <w:lang w:eastAsia="es-CO"/>
        </w:rPr>
        <w:t xml:space="preserve"> </w:t>
      </w:r>
      <w:r w:rsidRPr="00E61315">
        <w:rPr>
          <w:rFonts w:eastAsia="Times New Roman" w:cs="Times New Roman"/>
          <w:color w:val="000000"/>
          <w:szCs w:val="24"/>
          <w:highlight w:val="green"/>
          <w:lang w:eastAsia="es-CO"/>
        </w:rPr>
        <w:t xml:space="preserve">El derecho a la salud se verá vulnerado no solo cuando </w:t>
      </w:r>
      <w:r w:rsidRPr="00E61315">
        <w:rPr>
          <w:rFonts w:eastAsia="Times New Roman" w:cs="Times New Roman"/>
          <w:color w:val="000000"/>
          <w:szCs w:val="24"/>
          <w:highlight w:val="green"/>
          <w:lang w:eastAsia="es-CO"/>
        </w:rPr>
        <w:lastRenderedPageBreak/>
        <w:t>se adopta una decisión que afecta el aspecto físico o funcional de una persona. Se desconocerá igualmente cuando la decisión adoptada se proyecta de manera negativa sobre los aspectos psíquicos, emocionales y sociales del derecho fundamental a la salud.</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La garantía del derecho a la salud incluye varias facetas: una faceta preventiva dirigida evitar que se produzca la enfermedad, una faceta reparadora, que tiene efectos curativos de la enfermedad y una faceta mitigadora orientada a amortiguar los efectos negativos de la enfermedad. En este último caso, ya no se busca una recuperación pues esta no se puede lograr. Se trata, más bien, de atenuar, en lo posible, las dolencias físicas que ella produce y de contribuir, también en la medida de lo factible, al bienestar psíquico, emocional y social del afectado con la enfermedad.</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En relación con la faceta preventiva, se garantiza el derecho a la salud cuando se hace todo lo necesario para evitar que las personas incurran en situaciones de riesgo que perjudique su salud integral. (...).</w:t>
      </w:r>
    </w:p>
    <w:p w:rsidR="00253566" w:rsidRPr="00E21208" w:rsidRDefault="00253566" w:rsidP="00253566">
      <w:pPr>
        <w:shd w:val="clear" w:color="auto" w:fill="FFFFFF"/>
        <w:spacing w:before="100" w:beforeAutospacing="1" w:after="100" w:afterAutospacing="1" w:line="384" w:lineRule="atLeast"/>
        <w:rPr>
          <w:rFonts w:eastAsia="Times New Roman" w:cs="Times New Roman"/>
          <w:color w:val="000000"/>
          <w:szCs w:val="24"/>
          <w:u w:val="single"/>
          <w:lang w:eastAsia="es-CO"/>
        </w:rPr>
      </w:pPr>
      <w:r w:rsidRPr="00E61315">
        <w:rPr>
          <w:rFonts w:eastAsia="Times New Roman" w:cs="Times New Roman"/>
          <w:color w:val="000000"/>
          <w:szCs w:val="24"/>
          <w:highlight w:val="green"/>
          <w:lang w:eastAsia="es-CO"/>
        </w:rPr>
        <w:t>Gran parte de las enfermedades no se originan en una disfunción física o funcional sino son motivadas por presiones que provienen del medio ambiente social y producen estrés: sentimientos de abandono baja autoestima, aislamiento, burlas, inconformidad con la propia imagen, depresión, agresividad. Estas presiones comienzan a manifestarse desde la infancia más temprana y a partir de ese mismo momento es preciso reaccionar. Solo de esa forma se garantiza la faceta preventiva del derecho a la salud</w:t>
      </w:r>
      <w:r w:rsidRPr="00253566">
        <w:rPr>
          <w:rFonts w:eastAsia="Times New Roman" w:cs="Times New Roman"/>
          <w:color w:val="000000"/>
          <w:szCs w:val="24"/>
          <w:lang w:eastAsia="es-CO"/>
        </w:rPr>
        <w:t xml:space="preserve">. </w:t>
      </w:r>
      <w:r w:rsidRPr="00E21208">
        <w:rPr>
          <w:rFonts w:eastAsia="Times New Roman" w:cs="Times New Roman"/>
          <w:color w:val="000000"/>
          <w:szCs w:val="24"/>
          <w:highlight w:val="green"/>
          <w:u w:val="single"/>
          <w:lang w:eastAsia="es-CO"/>
        </w:rPr>
        <w:t xml:space="preserve">Con ello se evita, de modo simultáneo, llegar a situaciones irreversibles que implican altos costos económicos, sociales y emocionales. Corte Constitucional Sentencia T-307 de 2006 M.P. Humberto Antonio Sierra Porto.         </w:t>
      </w:r>
      <w:r w:rsidRPr="00E21208">
        <w:rPr>
          <w:rFonts w:eastAsia="Times New Roman" w:cs="Times New Roman"/>
          <w:color w:val="000000"/>
          <w:szCs w:val="24"/>
          <w:highlight w:val="green"/>
          <w:u w:val="single"/>
          <w:lang w:eastAsia="es-CO"/>
        </w:rPr>
        <w:softHyphen/>
      </w:r>
    </w:p>
    <w:p w:rsidR="00253566" w:rsidRPr="00E61315" w:rsidRDefault="00253566" w:rsidP="00253566">
      <w:pPr>
        <w:shd w:val="clear" w:color="auto" w:fill="FFFFFF"/>
        <w:spacing w:before="100" w:beforeAutospacing="1" w:after="100" w:afterAutospacing="1" w:line="384" w:lineRule="atLeast"/>
        <w:rPr>
          <w:rFonts w:eastAsia="Times New Roman" w:cs="Times New Roman"/>
          <w:color w:val="000000"/>
          <w:sz w:val="32"/>
          <w:szCs w:val="32"/>
          <w:lang w:eastAsia="es-CO"/>
        </w:rPr>
      </w:pPr>
      <w:r w:rsidRPr="00E61315">
        <w:rPr>
          <w:rFonts w:eastAsia="Times New Roman" w:cs="Times New Roman"/>
          <w:color w:val="000000"/>
          <w:sz w:val="32"/>
          <w:szCs w:val="32"/>
          <w:highlight w:val="green"/>
          <w:lang w:eastAsia="es-CO"/>
        </w:rPr>
        <w:t xml:space="preserve">Teniendo en cuenta la doctrina vigente, los servicios de cirugía estética son excluidos del impuesto sobre las ventas, siempre y cuando sean prestados para la recuperación de la salud humana conforme a la definición que sobre el concepto integral de salud ha efectuado la Corte Constitucional que incluye no sólo aspectos físicos sino también psíquicos, emocionales y sociales. Cabe anotar que los servicios destinados a la atención de la salud humana, deben ser </w:t>
      </w:r>
      <w:r w:rsidRPr="00E61315">
        <w:rPr>
          <w:rFonts w:eastAsia="Times New Roman" w:cs="Times New Roman"/>
          <w:color w:val="000000"/>
          <w:sz w:val="32"/>
          <w:szCs w:val="32"/>
          <w:highlight w:val="green"/>
          <w:lang w:eastAsia="es-CO"/>
        </w:rPr>
        <w:lastRenderedPageBreak/>
        <w:t>prestados por p</w:t>
      </w:r>
      <w:bookmarkStart w:id="0" w:name="_GoBack"/>
      <w:bookmarkEnd w:id="0"/>
      <w:r w:rsidRPr="00E61315">
        <w:rPr>
          <w:rFonts w:eastAsia="Times New Roman" w:cs="Times New Roman"/>
          <w:color w:val="000000"/>
          <w:sz w:val="32"/>
          <w:szCs w:val="32"/>
          <w:highlight w:val="green"/>
          <w:lang w:eastAsia="es-CO"/>
        </w:rPr>
        <w:t>arte de profesionales debidamente registrados y autorizados por la entidad a quien la ley ha confiado su control y vigilancia.</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2. ¿Los impuestos descontables provenientes de la implantación de prótesis y demás costos y gastos que tengan relación de causalidad, proceden válidamente para ser descontados de las Declaraciones Tributarias?</w:t>
      </w:r>
    </w:p>
    <w:p w:rsidR="00253566" w:rsidRPr="00253566" w:rsidRDefault="00253566" w:rsidP="00253566">
      <w:pPr>
        <w:shd w:val="clear" w:color="auto" w:fill="FFFFFF"/>
        <w:spacing w:before="100" w:beforeAutospacing="1" w:after="100" w:afterAutospacing="1"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Respecto a los impuestos descontables en materia de impuesto sobre las ventas, este despacho se ha pronunciado mediante Concepto Unificado del Impuesto sobre las Ventas 2003, copia de los apartes correspondientes se envían para su conocimiento.</w:t>
      </w:r>
    </w:p>
    <w:p w:rsidR="00E61315" w:rsidRDefault="00253566" w:rsidP="00E6131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Atentamente,</w:t>
      </w:r>
    </w:p>
    <w:p w:rsidR="00253566" w:rsidRPr="00253566" w:rsidRDefault="00253566" w:rsidP="00E6131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ISABEL CRISTINA GARCES SANCHEZ</w:t>
      </w:r>
    </w:p>
    <w:p w:rsidR="00253566" w:rsidRPr="00253566" w:rsidRDefault="00253566" w:rsidP="00E6131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Jefe División de Normativa y Doctrina Tributaria</w:t>
      </w:r>
    </w:p>
    <w:p w:rsidR="00253566" w:rsidRDefault="00253566" w:rsidP="00E61315">
      <w:pPr>
        <w:shd w:val="clear" w:color="auto" w:fill="FFFFFF"/>
        <w:spacing w:line="384" w:lineRule="atLeast"/>
        <w:rPr>
          <w:rFonts w:eastAsia="Times New Roman" w:cs="Times New Roman"/>
          <w:color w:val="000000"/>
          <w:szCs w:val="24"/>
          <w:lang w:eastAsia="es-CO"/>
        </w:rPr>
      </w:pPr>
      <w:r w:rsidRPr="00253566">
        <w:rPr>
          <w:rFonts w:eastAsia="Times New Roman" w:cs="Times New Roman"/>
          <w:color w:val="000000"/>
          <w:szCs w:val="24"/>
          <w:lang w:eastAsia="es-CO"/>
        </w:rPr>
        <w:t>Oficina Jurídica</w:t>
      </w:r>
    </w:p>
    <w:p w:rsidR="00E21208" w:rsidRPr="00253566" w:rsidRDefault="00E21208" w:rsidP="00E61315">
      <w:pPr>
        <w:shd w:val="clear" w:color="auto" w:fill="FFFFFF"/>
        <w:spacing w:line="384" w:lineRule="atLeast"/>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sectPr w:rsidR="00E21208" w:rsidRPr="00253566" w:rsidSect="000E3EB9">
      <w:headerReference w:type="default" r:id="rId6"/>
      <w:pgSz w:w="12240" w:h="15840" w:code="1"/>
      <w:pgMar w:top="1418" w:right="1701" w:bottom="1418" w:left="1701" w:header="141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FA" w:rsidRDefault="00620EFA" w:rsidP="00B67FB5">
      <w:pPr>
        <w:spacing w:line="240" w:lineRule="auto"/>
      </w:pPr>
      <w:r>
        <w:separator/>
      </w:r>
    </w:p>
  </w:endnote>
  <w:endnote w:type="continuationSeparator" w:id="0">
    <w:p w:rsidR="00620EFA" w:rsidRDefault="00620EFA" w:rsidP="00B67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FA" w:rsidRDefault="00620EFA" w:rsidP="00B67FB5">
      <w:pPr>
        <w:spacing w:line="240" w:lineRule="auto"/>
      </w:pPr>
      <w:r>
        <w:separator/>
      </w:r>
    </w:p>
  </w:footnote>
  <w:footnote w:type="continuationSeparator" w:id="0">
    <w:p w:rsidR="00620EFA" w:rsidRDefault="00620EFA" w:rsidP="00B67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726427"/>
      <w:docPartObj>
        <w:docPartGallery w:val="Page Numbers (Top of Page)"/>
        <w:docPartUnique/>
      </w:docPartObj>
    </w:sdtPr>
    <w:sdtEndPr/>
    <w:sdtContent>
      <w:p w:rsidR="00B67FB5" w:rsidRDefault="00B67FB5">
        <w:pPr>
          <w:pStyle w:val="Encabezado"/>
          <w:jc w:val="right"/>
        </w:pPr>
        <w:r>
          <w:fldChar w:fldCharType="begin"/>
        </w:r>
        <w:r>
          <w:instrText>PAGE   \* MERGEFORMAT</w:instrText>
        </w:r>
        <w:r>
          <w:fldChar w:fldCharType="separate"/>
        </w:r>
        <w:r w:rsidR="000E3EB9" w:rsidRPr="000E3EB9">
          <w:rPr>
            <w:noProof/>
            <w:lang w:val="es-ES"/>
          </w:rPr>
          <w:t>5</w:t>
        </w:r>
        <w:r>
          <w:fldChar w:fldCharType="end"/>
        </w:r>
      </w:p>
    </w:sdtContent>
  </w:sdt>
  <w:p w:rsidR="00B67FB5" w:rsidRDefault="00B67F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6"/>
    <w:rsid w:val="000E3EB9"/>
    <w:rsid w:val="00253566"/>
    <w:rsid w:val="0029351E"/>
    <w:rsid w:val="00620EFA"/>
    <w:rsid w:val="00961BFA"/>
    <w:rsid w:val="00AA002A"/>
    <w:rsid w:val="00AD0ED5"/>
    <w:rsid w:val="00B67FB5"/>
    <w:rsid w:val="00B94BED"/>
    <w:rsid w:val="00C35EC4"/>
    <w:rsid w:val="00CD3ACF"/>
    <w:rsid w:val="00CD4967"/>
    <w:rsid w:val="00DA7BAD"/>
    <w:rsid w:val="00E21208"/>
    <w:rsid w:val="00E3651C"/>
    <w:rsid w:val="00E61315"/>
    <w:rsid w:val="00FF4A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56D1"/>
  <w15:chartTrackingRefBased/>
  <w15:docId w15:val="{D9EB785B-F55D-4210-AA72-4219523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FB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7FB5"/>
  </w:style>
  <w:style w:type="paragraph" w:styleId="Piedepgina">
    <w:name w:val="footer"/>
    <w:basedOn w:val="Normal"/>
    <w:link w:val="PiedepginaCar"/>
    <w:uiPriority w:val="99"/>
    <w:unhideWhenUsed/>
    <w:rsid w:val="00B67FB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67FB5"/>
  </w:style>
  <w:style w:type="paragraph" w:styleId="Textodeglobo">
    <w:name w:val="Balloon Text"/>
    <w:basedOn w:val="Normal"/>
    <w:link w:val="TextodegloboCar"/>
    <w:uiPriority w:val="99"/>
    <w:semiHidden/>
    <w:unhideWhenUsed/>
    <w:rsid w:val="00DA7BA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5</cp:revision>
  <cp:lastPrinted>2017-02-25T01:08:00Z</cp:lastPrinted>
  <dcterms:created xsi:type="dcterms:W3CDTF">2019-02-08T19:39:00Z</dcterms:created>
  <dcterms:modified xsi:type="dcterms:W3CDTF">2019-02-22T13:16:00Z</dcterms:modified>
</cp:coreProperties>
</file>